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673C" w:rsidRDefault="00D11557">
      <w:r>
        <w:t>Stellungnahme zum Schriftsatz der Stadtverwaltung an das Verwaltungsgericht Karlsruhe vom 22. 8. 2014 in der Sache Jansen ./. Stadt Heidelberg Zwangsgeld</w:t>
      </w:r>
      <w:r w:rsidR="00A27FF1">
        <w:t xml:space="preserve"> 4 K 872/14</w:t>
      </w:r>
    </w:p>
    <w:p w:rsidR="00D11557" w:rsidRDefault="00D11557"/>
    <w:p w:rsidR="00411C7C" w:rsidRDefault="00411C7C"/>
    <w:p w:rsidR="00DF3856" w:rsidRPr="00D11557" w:rsidRDefault="00DF3856">
      <w:pPr>
        <w:rPr>
          <w:u w:val="single"/>
        </w:rPr>
      </w:pPr>
      <w:r w:rsidRPr="00D11557">
        <w:rPr>
          <w:u w:val="single"/>
        </w:rPr>
        <w:t xml:space="preserve">Zum Sachverhalt </w:t>
      </w:r>
    </w:p>
    <w:p w:rsidR="00DF3856" w:rsidRDefault="00DF3856"/>
    <w:p w:rsidR="00454E35" w:rsidRDefault="00454E35">
      <w:r>
        <w:t>Die</w:t>
      </w:r>
      <w:r w:rsidR="00DF3856">
        <w:t xml:space="preserve"> Tabelle „Gaststätten mit Erlaubnis </w:t>
      </w:r>
      <w:r>
        <w:t>nach § 2 ... “ haben wir tatsächlich mit der Mail vom 11. März erhalten.</w:t>
      </w:r>
    </w:p>
    <w:p w:rsidR="00454E35" w:rsidRDefault="00454E35"/>
    <w:p w:rsidR="00165E34" w:rsidRDefault="00165E34"/>
    <w:p w:rsidR="00072A5A" w:rsidRDefault="00072A5A">
      <w:r>
        <w:t>Zum Umfang des Wortes „Eingangsdaten“</w:t>
      </w:r>
    </w:p>
    <w:p w:rsidR="00072A5A" w:rsidRDefault="00072A5A"/>
    <w:p w:rsidR="00454E35" w:rsidRDefault="00397738">
      <w:r>
        <w:t>D</w:t>
      </w:r>
      <w:r w:rsidR="00072A5A">
        <w:t>ie am 11. März erhaltene</w:t>
      </w:r>
      <w:r w:rsidR="00454E35">
        <w:t xml:space="preserve"> Tabelle </w:t>
      </w:r>
      <w:r w:rsidR="00052228">
        <w:t xml:space="preserve">„Gaststätten mit Erlaubnis nach § 2 ... “ </w:t>
      </w:r>
      <w:r>
        <w:t xml:space="preserve">gehört auch nach unserem Verständnis </w:t>
      </w:r>
      <w:r w:rsidR="00454E35">
        <w:t>zu den Eingangsdaten</w:t>
      </w:r>
      <w:r w:rsidR="00DB2267">
        <w:t xml:space="preserve"> der Berechnung</w:t>
      </w:r>
      <w:r w:rsidR="00052228">
        <w:t>.</w:t>
      </w:r>
      <w:r w:rsidR="00454E35">
        <w:t xml:space="preserve"> </w:t>
      </w:r>
      <w:r w:rsidR="00052228">
        <w:t xml:space="preserve">Anders als die Stadt vertreten wir jedoch die Auffassung, </w:t>
      </w:r>
      <w:r w:rsidR="00BC408F">
        <w:t>sie zeigt nicht pauschal alle Eingangsdaten</w:t>
      </w:r>
      <w:r w:rsidR="0055632A">
        <w:t>, sondern</w:t>
      </w:r>
      <w:r w:rsidR="00072A5A">
        <w:t xml:space="preserve"> </w:t>
      </w:r>
      <w:r w:rsidR="0055632A">
        <w:t xml:space="preserve">sie zeigt </w:t>
      </w:r>
      <w:r w:rsidR="00072A5A">
        <w:t>nur einen Teil der Eingangsdaten</w:t>
      </w:r>
      <w:r w:rsidR="00BC408F">
        <w:t xml:space="preserve"> der Berechnung</w:t>
      </w:r>
      <w:r w:rsidR="00C822B5">
        <w:t>.</w:t>
      </w:r>
    </w:p>
    <w:p w:rsidR="00454E35" w:rsidRDefault="00454E35"/>
    <w:p w:rsidR="00C822B5" w:rsidRDefault="00072A5A">
      <w:r>
        <w:t xml:space="preserve">Für uns sind </w:t>
      </w:r>
      <w:r w:rsidR="00454E35">
        <w:t>alle Daten</w:t>
      </w:r>
      <w:r>
        <w:t xml:space="preserve"> Eingangsdaten</w:t>
      </w:r>
      <w:r w:rsidR="00454E35">
        <w:t>, die das Ergebnis der Berechnung bestimmen</w:t>
      </w:r>
      <w:r w:rsidR="00C822B5">
        <w:t xml:space="preserve"> können</w:t>
      </w:r>
      <w:r w:rsidR="00454E35">
        <w:t>.</w:t>
      </w:r>
      <w:r w:rsidR="00C822B5">
        <w:t xml:space="preserve"> </w:t>
      </w:r>
      <w:r w:rsidR="00454E35">
        <w:t xml:space="preserve"> </w:t>
      </w:r>
    </w:p>
    <w:p w:rsidR="00165E34" w:rsidRDefault="00165E34"/>
    <w:p w:rsidR="00C822B5" w:rsidRDefault="00C822B5"/>
    <w:p w:rsidR="00DB2267" w:rsidRDefault="00DB2267">
      <w:r>
        <w:t>Z</w:t>
      </w:r>
      <w:r w:rsidR="00072A5A">
        <w:t xml:space="preserve">u der Mail vom 11. 3. </w:t>
      </w:r>
    </w:p>
    <w:p w:rsidR="00DB2267" w:rsidRDefault="00DB2267"/>
    <w:p w:rsidR="00DB2267" w:rsidRDefault="00DB2267" w:rsidP="00DB2267">
      <w:pPr>
        <w:pStyle w:val="Listenabsatz"/>
        <w:numPr>
          <w:ilvl w:val="0"/>
          <w:numId w:val="1"/>
        </w:numPr>
      </w:pPr>
      <w:r>
        <w:t>28.2. Info Stadt an uns</w:t>
      </w:r>
      <w:r w:rsidR="00052228">
        <w:t>:</w:t>
      </w:r>
      <w:r>
        <w:t xml:space="preserve"> Berechnung liegt vor, </w:t>
      </w:r>
      <w:r w:rsidR="0012641D">
        <w:t>Vorschlag einer Vorstellungsbesprechung.</w:t>
      </w:r>
    </w:p>
    <w:p w:rsidR="0012641D" w:rsidRDefault="00052228" w:rsidP="00DB2267">
      <w:pPr>
        <w:pStyle w:val="Listenabsatz"/>
        <w:numPr>
          <w:ilvl w:val="0"/>
          <w:numId w:val="1"/>
        </w:numPr>
      </w:pPr>
      <w:r>
        <w:t xml:space="preserve">28.2. Antwort von uns: </w:t>
      </w:r>
      <w:r w:rsidR="0012641D">
        <w:t>„Wir wollen vor einer Besprechung alle in Frage kommenden Unterlagen verstanden haben.“ Bitte um Unterlagen vorab.</w:t>
      </w:r>
    </w:p>
    <w:p w:rsidR="00DB2267" w:rsidRDefault="0012641D" w:rsidP="0012641D">
      <w:pPr>
        <w:pStyle w:val="Listenabsatz"/>
        <w:numPr>
          <w:ilvl w:val="0"/>
          <w:numId w:val="1"/>
        </w:numPr>
      </w:pPr>
      <w:r>
        <w:t xml:space="preserve">6.3. </w:t>
      </w:r>
      <w:r w:rsidR="00B56872">
        <w:t>Uns liegt keine Reaktion der Stadt vor</w:t>
      </w:r>
      <w:r w:rsidR="00B21359">
        <w:t xml:space="preserve">. </w:t>
      </w:r>
      <w:r>
        <w:t xml:space="preserve">Es existiert </w:t>
      </w:r>
      <w:r w:rsidR="006863EE">
        <w:t>jedoch</w:t>
      </w:r>
      <w:r w:rsidR="00B21359">
        <w:t xml:space="preserve"> </w:t>
      </w:r>
      <w:r>
        <w:t xml:space="preserve">ein </w:t>
      </w:r>
      <w:r w:rsidR="00174734">
        <w:t>uns nicht zugestellter Terminvorschlag für die</w:t>
      </w:r>
      <w:r>
        <w:t xml:space="preserve"> </w:t>
      </w:r>
      <w:r w:rsidR="00B21359">
        <w:t xml:space="preserve">vorgeschlagene </w:t>
      </w:r>
      <w:r w:rsidR="00174734">
        <w:t>Vorstellungsb</w:t>
      </w:r>
      <w:r w:rsidR="00B21359">
        <w:t>esprechung</w:t>
      </w:r>
      <w:r>
        <w:t xml:space="preserve"> </w:t>
      </w:r>
      <w:r w:rsidR="00052228">
        <w:t>(</w:t>
      </w:r>
      <w:r>
        <w:t>11.3. nachmittags</w:t>
      </w:r>
      <w:r w:rsidR="00052228">
        <w:t>)</w:t>
      </w:r>
      <w:r>
        <w:t xml:space="preserve">. </w:t>
      </w:r>
      <w:r w:rsidR="00B21359">
        <w:t>Wir sagen den Termin ab</w:t>
      </w:r>
      <w:r w:rsidR="006863EE">
        <w:t>,</w:t>
      </w:r>
      <w:r w:rsidR="00B21359">
        <w:t xml:space="preserve"> </w:t>
      </w:r>
      <w:r w:rsidR="00072A5A">
        <w:t xml:space="preserve">wir fordern </w:t>
      </w:r>
      <w:r w:rsidR="00B21359">
        <w:t>an</w:t>
      </w:r>
      <w:r w:rsidR="006863EE">
        <w:t xml:space="preserve"> seiner Stelle</w:t>
      </w:r>
      <w:r w:rsidR="00996CDA">
        <w:t xml:space="preserve"> die Vorlage der </w:t>
      </w:r>
      <w:r w:rsidR="00B56872">
        <w:t xml:space="preserve">am 28.2. erbetenen, </w:t>
      </w:r>
      <w:r w:rsidR="00996CDA">
        <w:t>für die Besprechun</w:t>
      </w:r>
      <w:r w:rsidR="00052228">
        <w:t>g notwendigen Unterlagen bis zu</w:t>
      </w:r>
      <w:r w:rsidR="00996CDA">
        <w:t xml:space="preserve"> </w:t>
      </w:r>
      <w:r w:rsidR="00B56872">
        <w:t>dem</w:t>
      </w:r>
      <w:r w:rsidR="00072A5A">
        <w:t xml:space="preserve"> Termin, </w:t>
      </w:r>
      <w:r w:rsidR="00B56872">
        <w:t>a</w:t>
      </w:r>
      <w:r w:rsidR="00052228">
        <w:t>n dem die Besprechung vorgeschlagen</w:t>
      </w:r>
      <w:r w:rsidR="00B56872">
        <w:t xml:space="preserve"> war, </w:t>
      </w:r>
      <w:r w:rsidR="00072A5A">
        <w:t xml:space="preserve">dem </w:t>
      </w:r>
      <w:r w:rsidR="00996CDA">
        <w:t>11.3.</w:t>
      </w:r>
    </w:p>
    <w:p w:rsidR="00996CDA" w:rsidRDefault="00996CDA" w:rsidP="0012641D">
      <w:pPr>
        <w:pStyle w:val="Listenabsatz"/>
        <w:numPr>
          <w:ilvl w:val="0"/>
          <w:numId w:val="1"/>
        </w:numPr>
      </w:pPr>
      <w:r>
        <w:t>7.3. Angebot der Stadt, die Unterlagen unter der Zusage der Vertraulichkeit zu schicken.</w:t>
      </w:r>
    </w:p>
    <w:p w:rsidR="006863EE" w:rsidRDefault="006863EE" w:rsidP="0012641D">
      <w:pPr>
        <w:pStyle w:val="Listenabsatz"/>
        <w:numPr>
          <w:ilvl w:val="0"/>
          <w:numId w:val="1"/>
        </w:numPr>
      </w:pPr>
      <w:r>
        <w:t>8.3.  Unsere Antwort: „</w:t>
      </w:r>
      <w:r>
        <w:rPr>
          <w:rFonts w:ascii="Calibri" w:hAnsi="Calibri" w:cs="Arial"/>
        </w:rPr>
        <w:t>... Unterlagen, die Sie uns nicht ohne Auflagen vorab zusenden können, kommen nicht in Betracht, sie können keine Grundlage einer Sperrzeitverordnung nach dem Vergleich bilden.</w:t>
      </w:r>
      <w:r w:rsidR="00DE36CF">
        <w:rPr>
          <w:rFonts w:ascii="Calibri" w:hAnsi="Calibri" w:cs="Arial"/>
        </w:rPr>
        <w:t>“</w:t>
      </w:r>
    </w:p>
    <w:p w:rsidR="00072A5A" w:rsidRDefault="006863EE" w:rsidP="0012641D">
      <w:pPr>
        <w:pStyle w:val="Listenabsatz"/>
        <w:numPr>
          <w:ilvl w:val="0"/>
          <w:numId w:val="1"/>
        </w:numPr>
      </w:pPr>
      <w:r>
        <w:t xml:space="preserve">11.3. Übersendung der </w:t>
      </w:r>
      <w:r w:rsidR="00B56872">
        <w:t xml:space="preserve">vertraulichen </w:t>
      </w:r>
      <w:r>
        <w:t>Tabelle</w:t>
      </w:r>
      <w:r w:rsidR="00397738">
        <w:t xml:space="preserve"> „Gaststätten mit Erlaubnis nach § 2 ... “ an uns</w:t>
      </w:r>
      <w:r>
        <w:t xml:space="preserve">, </w:t>
      </w:r>
      <w:r w:rsidR="00397738">
        <w:t xml:space="preserve">damals „Basisdaten“ genannt, </w:t>
      </w:r>
      <w:r>
        <w:t>he</w:t>
      </w:r>
      <w:r w:rsidR="00B56872">
        <w:t>ute Eingangsdaten genannt</w:t>
      </w:r>
      <w:r w:rsidR="00397738">
        <w:t>.</w:t>
      </w:r>
      <w:r w:rsidR="00B56872">
        <w:t xml:space="preserve"> </w:t>
      </w:r>
    </w:p>
    <w:p w:rsidR="0012641D" w:rsidRPr="00165E34" w:rsidRDefault="00072A5A" w:rsidP="0012641D">
      <w:pPr>
        <w:pStyle w:val="Listenabsatz"/>
        <w:numPr>
          <w:ilvl w:val="0"/>
          <w:numId w:val="1"/>
        </w:numPr>
      </w:pPr>
      <w:r>
        <w:t xml:space="preserve">11.3. </w:t>
      </w:r>
      <w:r w:rsidR="006863EE">
        <w:t>Antwort von uns</w:t>
      </w:r>
      <w:r w:rsidR="00397738">
        <w:t>:</w:t>
      </w:r>
      <w:r w:rsidR="006863EE">
        <w:t xml:space="preserve"> </w:t>
      </w:r>
      <w:r w:rsidR="006863EE">
        <w:rPr>
          <w:rFonts w:ascii="Calibri" w:hAnsi="Calibri" w:cs="Arial"/>
        </w:rPr>
        <w:t>„</w:t>
      </w:r>
      <w:r w:rsidR="006863EE" w:rsidRPr="00411C7C">
        <w:rPr>
          <w:rFonts w:ascii="Calibri" w:hAnsi="Calibri" w:cs="Arial"/>
        </w:rPr>
        <w:t>Die Ihrer Mail beigefügten Unterlagen habe ich nicht geöffnet. Mein persönlicher Plan ist auch, sie nicht zu öffnen, bevor wir uns nicht über unsere weitere Zusammenarbeit klar geworden sind. Zur Sicherheit, damit wir uns richtig verstehen: Ich gebe Ihnen damit keine Vertraulichkeits-Zusage.</w:t>
      </w:r>
      <w:r w:rsidR="006863EE">
        <w:rPr>
          <w:rFonts w:ascii="Calibri" w:hAnsi="Calibri" w:cs="Arial"/>
        </w:rPr>
        <w:t>“</w:t>
      </w:r>
    </w:p>
    <w:p w:rsidR="00DE36CF" w:rsidRDefault="00DE36CF" w:rsidP="00165E34"/>
    <w:p w:rsidR="00165E34" w:rsidRDefault="00DE36CF" w:rsidP="00165E34">
      <w:r>
        <w:t>Die ent</w:t>
      </w:r>
      <w:r w:rsidR="00A27FF1">
        <w:t>sprechenden Mails werden hier</w:t>
      </w:r>
      <w:r>
        <w:t xml:space="preserve"> vorgelegt.</w:t>
      </w:r>
    </w:p>
    <w:p w:rsidR="00DB2267" w:rsidRDefault="00DB2267"/>
    <w:p w:rsidR="00D11557" w:rsidRDefault="00D11557"/>
    <w:p w:rsidR="006863EE" w:rsidRDefault="00C76E23">
      <w:r>
        <w:t xml:space="preserve">Die </w:t>
      </w:r>
      <w:r w:rsidR="00397738">
        <w:t>Tabelle „Gaststätten mit Erlaubnis nach § 2 ... “  haben wir</w:t>
      </w:r>
      <w:r>
        <w:t xml:space="preserve"> mit Schreiben vom 29. 4. und 8.5. </w:t>
      </w:r>
      <w:r w:rsidR="00397738">
        <w:t xml:space="preserve">nochmals </w:t>
      </w:r>
      <w:r>
        <w:t>erhalten.</w:t>
      </w:r>
    </w:p>
    <w:p w:rsidR="00C76E23" w:rsidRDefault="00C76E23"/>
    <w:p w:rsidR="00C76E23" w:rsidRDefault="00DE36CF" w:rsidP="00C76E23">
      <w:r>
        <w:t>Sie</w:t>
      </w:r>
      <w:r w:rsidR="00397738">
        <w:t xml:space="preserve"> </w:t>
      </w:r>
      <w:r>
        <w:t xml:space="preserve">wurde </w:t>
      </w:r>
      <w:r w:rsidR="00C76E23">
        <w:t xml:space="preserve">uns </w:t>
      </w:r>
      <w:r>
        <w:t xml:space="preserve">dabei </w:t>
      </w:r>
      <w:r w:rsidR="00C76E23">
        <w:t xml:space="preserve">als Bestandteil der abgeschlossenen Berechnung vorgelegt. </w:t>
      </w:r>
    </w:p>
    <w:p w:rsidR="00C76E23" w:rsidRDefault="00C76E23" w:rsidP="00C76E23"/>
    <w:p w:rsidR="00C76E23" w:rsidRDefault="00C76E23" w:rsidP="00C76E23">
      <w:r>
        <w:t>Die Möglichkeit, für die</w:t>
      </w:r>
      <w:r w:rsidR="00B56872">
        <w:t>se</w:t>
      </w:r>
      <w:r>
        <w:t xml:space="preserve"> Berechnung</w:t>
      </w:r>
      <w:r w:rsidR="00397738">
        <w:t>,</w:t>
      </w:r>
      <w:r>
        <w:t xml:space="preserve"> </w:t>
      </w:r>
      <w:r w:rsidR="00397738">
        <w:t xml:space="preserve">oder auch nur für diese Tabelle </w:t>
      </w:r>
      <w:r>
        <w:t xml:space="preserve">ein Benehmen herzustellen, war zu diesem Zeitpunkt also schon vertan und nicht mehr möglich. </w:t>
      </w:r>
    </w:p>
    <w:p w:rsidR="00C76E23" w:rsidRDefault="00C76E23"/>
    <w:p w:rsidR="00DE36CF" w:rsidRDefault="00DE36CF"/>
    <w:p w:rsidR="00C76E23" w:rsidRDefault="00397738" w:rsidP="00C76E23">
      <w:r>
        <w:t>Mit d</w:t>
      </w:r>
      <w:r w:rsidR="008E09B8">
        <w:t xml:space="preserve">er Vorlage </w:t>
      </w:r>
      <w:r>
        <w:t xml:space="preserve">vom 29.4. und 8.5. </w:t>
      </w:r>
      <w:r w:rsidR="008E09B8">
        <w:t>wurde d</w:t>
      </w:r>
      <w:r w:rsidR="00C76E23">
        <w:t>er Vorbehalt der Vert</w:t>
      </w:r>
      <w:r w:rsidR="008E09B8">
        <w:t>raulichkeit</w:t>
      </w:r>
      <w:r w:rsidR="00C76E23">
        <w:t xml:space="preserve"> auf die g</w:t>
      </w:r>
      <w:r w:rsidR="00DE36CF">
        <w:t>esamte Berechnung ausgedehnt. Die Vertraulichkeit dieser Berechnung wurde dann</w:t>
      </w:r>
      <w:r w:rsidR="00C76E23">
        <w:t xml:space="preserve"> mit Schreiben vom 11.6. an</w:t>
      </w:r>
      <w:r w:rsidR="008E09B8">
        <w:t xml:space="preserve"> die Bürgerinitiative LindA </w:t>
      </w:r>
      <w:r w:rsidR="00B4297D">
        <w:t>ohne Information an uns</w:t>
      </w:r>
      <w:r w:rsidR="008E09B8">
        <w:t xml:space="preserve"> von der Stadt selbst gebrochen</w:t>
      </w:r>
      <w:r w:rsidR="004F67B3">
        <w:t xml:space="preserve"> (</w:t>
      </w:r>
      <w:r w:rsidR="005E2345">
        <w:t>Das Datum haben wir aus einem</w:t>
      </w:r>
      <w:r w:rsidR="004F67B3">
        <w:t xml:space="preserve"> Schreiben von LindA an die Stadt vom 10.7.,</w:t>
      </w:r>
      <w:r w:rsidR="00F52A7A">
        <w:t xml:space="preserve"> das der Stadt sicher </w:t>
      </w:r>
      <w:r w:rsidR="004F67B3">
        <w:t>vor</w:t>
      </w:r>
      <w:r w:rsidR="00F52A7A">
        <w:t>lieg</w:t>
      </w:r>
      <w:r w:rsidR="004F67B3">
        <w:t>t.)</w:t>
      </w:r>
      <w:r w:rsidR="008E09B8">
        <w:t>.</w:t>
      </w:r>
      <w:r w:rsidR="00C76E23">
        <w:t xml:space="preserve"> Zu diesem Zeitpunkt war die Berechnung </w:t>
      </w:r>
      <w:r w:rsidR="00DE36CF">
        <w:t xml:space="preserve">allerdings </w:t>
      </w:r>
      <w:r w:rsidR="00C76E23">
        <w:t xml:space="preserve">weder von uns </w:t>
      </w:r>
      <w:r w:rsidR="00DE36CF">
        <w:t xml:space="preserve">als vergleichserfüllend </w:t>
      </w:r>
      <w:r w:rsidR="00C76E23">
        <w:t xml:space="preserve">anerkannt, </w:t>
      </w:r>
      <w:r w:rsidR="00B4297D">
        <w:t xml:space="preserve">der Stadt lagen im Gegenteil unsere Beanstandungen, </w:t>
      </w:r>
      <w:r w:rsidR="00DE36CF">
        <w:t>Anmerkungen und Wünsche</w:t>
      </w:r>
      <w:r w:rsidR="00B4297D">
        <w:t xml:space="preserve"> vor, </w:t>
      </w:r>
      <w:r w:rsidR="00C76E23">
        <w:t>noch war</w:t>
      </w:r>
      <w:r w:rsidR="008E09B8">
        <w:t xml:space="preserve"> zu diesem Zeitpunkt </w:t>
      </w:r>
      <w:r w:rsidR="00C76E23">
        <w:t xml:space="preserve">das Benehmen </w:t>
      </w:r>
      <w:r w:rsidR="008E09B8">
        <w:t>durch einseitige Erklärung der Stadt festgestellt worden.</w:t>
      </w:r>
      <w:r w:rsidR="009A2D09">
        <w:t xml:space="preserve"> </w:t>
      </w:r>
      <w:r w:rsidR="00A27FF1">
        <w:t xml:space="preserve">Das Benehmen kann zu diesem Zeitpunkt auch nicht </w:t>
      </w:r>
      <w:r w:rsidR="00447082">
        <w:t xml:space="preserve">irgendwie </w:t>
      </w:r>
      <w:r w:rsidR="00A27FF1">
        <w:t xml:space="preserve">anders entstanden sein, da </w:t>
      </w:r>
      <w:r w:rsidR="00447082">
        <w:t>die Stadt uns a</w:t>
      </w:r>
      <w:r w:rsidR="00DE36CF">
        <w:t>uf die</w:t>
      </w:r>
      <w:r w:rsidR="009A2D09">
        <w:t xml:space="preserve"> Beanstandungen, Anmerkungen und Wünsche erst </w:t>
      </w:r>
      <w:r w:rsidR="00447082">
        <w:t>später, am 27. 6., geantwortet hat.</w:t>
      </w:r>
      <w:r w:rsidR="009A2D09">
        <w:t xml:space="preserve"> </w:t>
      </w:r>
    </w:p>
    <w:p w:rsidR="00C76E23" w:rsidRDefault="00C76E23" w:rsidP="00C76E23"/>
    <w:p w:rsidR="00D11557" w:rsidRDefault="00D11557" w:rsidP="00C76E23"/>
    <w:p w:rsidR="00C76E23" w:rsidRDefault="008E09B8" w:rsidP="00C76E23">
      <w:r>
        <w:t>Bei der Übersendung</w:t>
      </w:r>
      <w:r w:rsidR="00C76E23">
        <w:t xml:space="preserve"> unserer Beanstan</w:t>
      </w:r>
      <w:r>
        <w:t>dungen, Anmerkungen und Wünsche</w:t>
      </w:r>
      <w:r w:rsidR="00C76E23">
        <w:t xml:space="preserve"> am 21.5. </w:t>
      </w:r>
      <w:r w:rsidR="00B56872">
        <w:t>sind wir erneut</w:t>
      </w:r>
      <w:r>
        <w:t xml:space="preserve"> zu einem persönlichen</w:t>
      </w:r>
      <w:r w:rsidR="00C568B5">
        <w:t xml:space="preserve"> Gespräch eingeladen worden. Dazu</w:t>
      </w:r>
      <w:r>
        <w:t xml:space="preserve"> </w:t>
      </w:r>
      <w:r w:rsidR="00C568B5">
        <w:t>haben</w:t>
      </w:r>
      <w:r w:rsidR="00C76E23">
        <w:t xml:space="preserve"> </w:t>
      </w:r>
      <w:r w:rsidR="00C568B5">
        <w:t xml:space="preserve">wir </w:t>
      </w:r>
      <w:r w:rsidR="00C76E23">
        <w:t>die Stadt darauf hingewiesen, dass uns greifbare Unterlagen und Ergebnisse lieber sind als persönliche Gespräche</w:t>
      </w:r>
      <w:r>
        <w:t>.</w:t>
      </w:r>
      <w:r w:rsidR="00C76E23">
        <w:t xml:space="preserve"> </w:t>
      </w:r>
      <w:r>
        <w:t>Gleichzeitig haben wir</w:t>
      </w:r>
      <w:r w:rsidR="00C76E23">
        <w:t xml:space="preserve"> </w:t>
      </w:r>
      <w:r>
        <w:t>v</w:t>
      </w:r>
      <w:r w:rsidR="00C76E23">
        <w:t>ersicher</w:t>
      </w:r>
      <w:r>
        <w:t>t</w:t>
      </w:r>
      <w:r w:rsidR="00C76E23">
        <w:t xml:space="preserve">, dass wir auf die Stadt zu kommen, wenn aus unserer Sicht ein Gesprächsbedarf besteht. </w:t>
      </w:r>
    </w:p>
    <w:p w:rsidR="00FD192A" w:rsidRDefault="00FD192A" w:rsidP="00C76E23"/>
    <w:p w:rsidR="00D11557" w:rsidRDefault="00D11557" w:rsidP="00C76E23"/>
    <w:p w:rsidR="00FD192A" w:rsidRDefault="00FD192A" w:rsidP="00C76E23">
      <w:r>
        <w:t>Auf das Schreiben der Stadt vom 27.6. zu unseren Beanstandungen, Anmerkungen und Wünschen haben wir mit Schreiben vom 10.7. (dem Gericht vorgelegt mit Schriftsatz vom 4.8.) geantwortet. Darin haben wir im Detail begründet, warum unsere Beanstandungen sachlich nicht erl</w:t>
      </w:r>
      <w:r w:rsidR="00447082">
        <w:t>edigt sind und dass wir daher</w:t>
      </w:r>
      <w:r>
        <w:t xml:space="preserve"> die </w:t>
      </w:r>
      <w:r w:rsidR="008E0C85">
        <w:t>Berechnung ablehnen, weil durch sie der Vergleich nicht erfüllt wird.</w:t>
      </w:r>
    </w:p>
    <w:p w:rsidR="008E0C85" w:rsidRDefault="008E0C85" w:rsidP="00C76E23"/>
    <w:p w:rsidR="00D11557" w:rsidRDefault="00D11557" w:rsidP="00C76E23"/>
    <w:p w:rsidR="008E0C85" w:rsidRDefault="008E0C85" w:rsidP="00C76E23">
      <w:r>
        <w:t>Mit Schreiben vom 4.8. (hier vorgelegt) hat die Stadt die weitere Arbeit an dieser Berechnung abgebrochen und unter Verweis auf den Rechtsweg einseitig das Benehmen als hergestellt erklärt.</w:t>
      </w:r>
    </w:p>
    <w:p w:rsidR="008E0C85" w:rsidRDefault="008E0C85" w:rsidP="00C76E23"/>
    <w:p w:rsidR="00D11557" w:rsidRDefault="00D11557" w:rsidP="00C76E23"/>
    <w:p w:rsidR="008E0C85" w:rsidRDefault="008E0C85" w:rsidP="00C76E23">
      <w:r>
        <w:t>Wir haben darauf mit Schreiben vom 12.</w:t>
      </w:r>
      <w:r w:rsidR="00525B87">
        <w:t xml:space="preserve"> </w:t>
      </w:r>
      <w:r>
        <w:t>8. geantwortet (hier vorgelegt) und ausgeführt, warum das Benehmen nicht hergestellt ist. Gleichzeitig haben wir darauf verwiesen, dass unabhän</w:t>
      </w:r>
      <w:r w:rsidR="008150FB">
        <w:t>gig vom fehlenden Benehmen, die</w:t>
      </w:r>
      <w:r>
        <w:t xml:space="preserve"> Berechnung</w:t>
      </w:r>
      <w:r w:rsidR="008150FB">
        <w:t xml:space="preserve"> in ihrem augenblicklichen Zustand Sinn und Zweck des Vergleichs verfehlt.</w:t>
      </w:r>
      <w:r>
        <w:t xml:space="preserve">  </w:t>
      </w:r>
    </w:p>
    <w:p w:rsidR="00B4297D" w:rsidRDefault="00B4297D" w:rsidP="00C76E23"/>
    <w:p w:rsidR="00D11557" w:rsidRDefault="00D11557" w:rsidP="00C76E23"/>
    <w:p w:rsidR="00B4297D" w:rsidRDefault="002F2398" w:rsidP="00C76E23">
      <w:r>
        <w:t>Formulierungen in der Lärmberechnung</w:t>
      </w:r>
    </w:p>
    <w:p w:rsidR="002F2398" w:rsidRDefault="002F2398" w:rsidP="00C76E23"/>
    <w:p w:rsidR="002F2398" w:rsidRDefault="002F2398" w:rsidP="00C76E23">
      <w:r>
        <w:t xml:space="preserve">Ziel des Vergleichs ist, die Tatsachenbasis der Sperrzeitverordnung </w:t>
      </w:r>
      <w:r w:rsidR="00F312C1">
        <w:t xml:space="preserve">verlässlich zu ergänzen. </w:t>
      </w:r>
    </w:p>
    <w:p w:rsidR="00F312C1" w:rsidRDefault="00F312C1" w:rsidP="00C76E23"/>
    <w:p w:rsidR="00F312C1" w:rsidRDefault="00F312C1" w:rsidP="00C76E23">
      <w:r>
        <w:lastRenderedPageBreak/>
        <w:t>Zweifelhafte Formulierungen in der Berechnung</w:t>
      </w:r>
      <w:r w:rsidR="00123362">
        <w:t xml:space="preserve"> und neuerdings auch in der Antwort der Stadt vom </w:t>
      </w:r>
      <w:r w:rsidR="00175351">
        <w:t>27. 6.</w:t>
      </w:r>
      <w:r>
        <w:t xml:space="preserve"> </w:t>
      </w:r>
      <w:r w:rsidR="00175351">
        <w:t xml:space="preserve">auf unsere Beanstandungen, Anmerkungen und Wünsche, </w:t>
      </w:r>
      <w:r>
        <w:t>machen die Berechnung für Kritiker angreifbar</w:t>
      </w:r>
      <w:r w:rsidR="002D62A7">
        <w:t>. D</w:t>
      </w:r>
      <w:r>
        <w:t xml:space="preserve">ie Sperrzeitverordnung büßt dadurch ihre Verlässlichkeit ein, das </w:t>
      </w:r>
      <w:r w:rsidR="002D62A7">
        <w:t xml:space="preserve">grundlegende </w:t>
      </w:r>
      <w:r>
        <w:t xml:space="preserve">Ziel des Vergleichs wird gefährdet. Darauf weisen wir </w:t>
      </w:r>
      <w:r w:rsidR="005E3068">
        <w:t>hin</w:t>
      </w:r>
      <w:r>
        <w:t xml:space="preserve">. Es liegt im Ermessen der Stadt, darauf zu reagieren. </w:t>
      </w:r>
    </w:p>
    <w:p w:rsidR="00175351" w:rsidRDefault="00175351" w:rsidP="00C76E23"/>
    <w:p w:rsidR="00D11557" w:rsidRDefault="00D11557" w:rsidP="00C76E23"/>
    <w:p w:rsidR="00175351" w:rsidRDefault="00175351" w:rsidP="00C76E23">
      <w:r>
        <w:t>Derzeitige Arbeit der Stadt</w:t>
      </w:r>
    </w:p>
    <w:p w:rsidR="00175351" w:rsidRDefault="00175351" w:rsidP="00C76E23"/>
    <w:p w:rsidR="00175351" w:rsidRDefault="00175351" w:rsidP="00C76E23">
      <w:r>
        <w:t xml:space="preserve">Die Anmerkungen der Gastwirte, der IHK, der Polizeidirektion Heidelberg, des Vereins Alt Heidelberg, der Bürgerinitiative LindA, von Heidelberg Marketing und von verschiedenen städtischen Ämtern basieren auf einer Berechnung, die wir nicht anerkennen. </w:t>
      </w:r>
      <w:r w:rsidR="00525B87">
        <w:t>Das war der Stadt bei Vorlage der Berechnung an diese Einheiten klar. Eine auf diesen</w:t>
      </w:r>
      <w:r w:rsidR="00B66828">
        <w:t xml:space="preserve"> Anmerkungen</w:t>
      </w:r>
      <w:r>
        <w:t xml:space="preserve"> </w:t>
      </w:r>
      <w:r w:rsidR="00525B87">
        <w:t xml:space="preserve">dieser Einheiten </w:t>
      </w:r>
      <w:r>
        <w:t>aufbauende Sperrzeitverordnung kann keinen Bestand haben.</w:t>
      </w:r>
    </w:p>
    <w:p w:rsidR="00175351" w:rsidRDefault="00525B87" w:rsidP="00C76E23">
      <w:r>
        <w:t xml:space="preserve"> </w:t>
      </w:r>
    </w:p>
    <w:p w:rsidR="00C76E23" w:rsidRDefault="00C76E23"/>
    <w:p w:rsidR="000F6AE5" w:rsidRPr="00D11557" w:rsidRDefault="000F6AE5">
      <w:pPr>
        <w:rPr>
          <w:u w:val="single"/>
        </w:rPr>
      </w:pPr>
      <w:r w:rsidRPr="00D11557">
        <w:rPr>
          <w:u w:val="single"/>
        </w:rPr>
        <w:t>Zur Rechtslage</w:t>
      </w:r>
    </w:p>
    <w:p w:rsidR="00A82058" w:rsidRDefault="00A82058"/>
    <w:p w:rsidR="00A82058" w:rsidRDefault="00A82058">
      <w:r>
        <w:t>Eingangsdaten</w:t>
      </w:r>
    </w:p>
    <w:p w:rsidR="000F6AE5" w:rsidRDefault="000F6AE5"/>
    <w:p w:rsidR="000F6AE5" w:rsidRDefault="000F6AE5">
      <w:r>
        <w:t>Die von der Stadt benutzte Einschränkung des Begriffs Eingangsdaten auf die in der Tabelle „Gaststätten mit Erlaubnis nach § 2 ... “ enthaltenen Daten kann nicht zu dem angestrebten Ziel führen.</w:t>
      </w:r>
    </w:p>
    <w:p w:rsidR="00C76E23" w:rsidRDefault="00C76E23"/>
    <w:p w:rsidR="00E953D9" w:rsidRDefault="00E953D9" w:rsidP="000F6AE5">
      <w:r>
        <w:t>Wie oben schon</w:t>
      </w:r>
      <w:r w:rsidR="000F6AE5">
        <w:t xml:space="preserve"> angeführt, sind für uns alle Daten, die das Ergebnis der Berechnung bestimmen können, Eingangsdaten. Dass damit auch Methodendaten erfass</w:t>
      </w:r>
      <w:r>
        <w:t>t werden können, steht dem keineswegs</w:t>
      </w:r>
      <w:r w:rsidR="000F6AE5">
        <w:t xml:space="preserve"> im Wege. </w:t>
      </w:r>
    </w:p>
    <w:p w:rsidR="00E953D9" w:rsidRDefault="00E953D9" w:rsidP="000F6AE5"/>
    <w:p w:rsidR="00E953D9" w:rsidRDefault="00E953D9" w:rsidP="000F6AE5">
      <w:r>
        <w:t xml:space="preserve">Im Gegenteil, dem Richter in der Vergleichsverhandlung war sehr wohl bewusst, wie entscheidend Methodendaten in </w:t>
      </w:r>
      <w:r w:rsidR="0024345C">
        <w:t>dieser Berechnung sein können. Nur d</w:t>
      </w:r>
      <w:r>
        <w:t xml:space="preserve">eswegen hat der Richter die Parteien auf die Augsburger Berechnung als Muster hingewiesen. Tatsächlich hat erst dieser Hinweis </w:t>
      </w:r>
      <w:r w:rsidR="0024345C">
        <w:t xml:space="preserve">des Richters </w:t>
      </w:r>
      <w:r>
        <w:t xml:space="preserve">auf die Augsburger Berechnung den Vergleich </w:t>
      </w:r>
      <w:r w:rsidR="0024345C">
        <w:t xml:space="preserve">überhaupt </w:t>
      </w:r>
      <w:r>
        <w:t xml:space="preserve">ermöglicht. </w:t>
      </w:r>
    </w:p>
    <w:p w:rsidR="00A97245" w:rsidRDefault="00A97245" w:rsidP="000F6AE5"/>
    <w:p w:rsidR="006D4302" w:rsidRDefault="006D4302" w:rsidP="000F6AE5"/>
    <w:p w:rsidR="00D11557" w:rsidRDefault="00D11557" w:rsidP="000F6AE5"/>
    <w:p w:rsidR="0047785F" w:rsidRDefault="0047785F" w:rsidP="000F6AE5">
      <w:r>
        <w:t>Sich ins Benehmen setzen</w:t>
      </w:r>
    </w:p>
    <w:p w:rsidR="0047785F" w:rsidRDefault="0047785F" w:rsidP="000F6AE5"/>
    <w:p w:rsidR="008150FB" w:rsidRDefault="001453CB" w:rsidP="000F6AE5">
      <w:r>
        <w:t>Wir verweisen dazu auf unser Schreiben an Herrn Köster vom 12.8.</w:t>
      </w:r>
      <w:r w:rsidR="008150FB">
        <w:t xml:space="preserve"> (hier vorgelegt).</w:t>
      </w:r>
    </w:p>
    <w:p w:rsidR="008150FB" w:rsidRDefault="008150FB" w:rsidP="000F6AE5"/>
    <w:p w:rsidR="00C16AE9" w:rsidRDefault="008150FB" w:rsidP="000F6AE5">
      <w:r>
        <w:t xml:space="preserve">In den dortigen Ausführungen benutzen wir weitestgehend </w:t>
      </w:r>
      <w:r w:rsidR="0028623A">
        <w:t>das</w:t>
      </w:r>
      <w:r>
        <w:t>selbe Verständnis zum Begriff „Benehmen“ wie es auch im Schriftsatz der Stadt benutzt w</w:t>
      </w:r>
      <w:r w:rsidR="005F0510">
        <w:t>ird. Wir kommen allerdings zu einem gänzlich anderen</w:t>
      </w:r>
      <w:r>
        <w:t xml:space="preserve"> Ergebnis</w:t>
      </w:r>
      <w:r w:rsidR="005F0510">
        <w:t xml:space="preserve"> als die Stadt</w:t>
      </w:r>
      <w:r>
        <w:t xml:space="preserve">, weil </w:t>
      </w:r>
      <w:r w:rsidR="005F0510">
        <w:t>der Teil-Aspekt</w:t>
      </w:r>
      <w:r w:rsidR="00BB6901">
        <w:t xml:space="preserve"> des Benehmens</w:t>
      </w:r>
      <w:r w:rsidR="005F0510">
        <w:t xml:space="preserve"> „mit dem Ziel der Verständigung“ </w:t>
      </w:r>
      <w:r w:rsidR="00BB6901">
        <w:t xml:space="preserve">im Schriftsatz der Stadt </w:t>
      </w:r>
      <w:r w:rsidR="005F0510">
        <w:t>außer Acht gelassen wird.</w:t>
      </w:r>
      <w:r w:rsidR="00C1384A">
        <w:t xml:space="preserve"> </w:t>
      </w:r>
    </w:p>
    <w:p w:rsidR="000F6AE5" w:rsidRDefault="000F6AE5"/>
    <w:p w:rsidR="00BB4E43" w:rsidRDefault="005F0510">
      <w:r>
        <w:t>Um ein richti</w:t>
      </w:r>
      <w:r w:rsidR="0028623A">
        <w:t>g hergestelltes Benehmen aufzu</w:t>
      </w:r>
      <w:r>
        <w:t xml:space="preserve">zeigen, müsste glaubhaft gemacht werden, dass die Bemühungen der Stadt das Ziel der Verständigung hatten. Das gelingt nicht, das </w:t>
      </w:r>
      <w:r w:rsidR="006A613D">
        <w:t>ergibt sich auch aus</w:t>
      </w:r>
      <w:r>
        <w:t xml:space="preserve"> den dem Gericht inzwischen vorlie</w:t>
      </w:r>
      <w:r w:rsidR="006A613D">
        <w:t>genden Unterlagen nicht</w:t>
      </w:r>
      <w:r>
        <w:t>.</w:t>
      </w:r>
      <w:r w:rsidR="00165E34">
        <w:t xml:space="preserve"> </w:t>
      </w:r>
    </w:p>
    <w:p w:rsidR="005F0510" w:rsidRDefault="005F0510"/>
    <w:p w:rsidR="001B13D8" w:rsidRDefault="005F0510">
      <w:r>
        <w:t xml:space="preserve">Zusätzlich müsste </w:t>
      </w:r>
      <w:r w:rsidR="001756FA">
        <w:t xml:space="preserve">außerdem aufgezeigt werden, dass unsere Beanstandungen aus sachlichen Gründen abgelehnt wurden. </w:t>
      </w:r>
      <w:r w:rsidR="001B13D8">
        <w:t xml:space="preserve">Im Schriftsatz der Stadt wird das zwar behauptet, nachgewiesen wird das jedoch nicht. Die bis jetzt </w:t>
      </w:r>
      <w:r w:rsidR="00B3131B">
        <w:t xml:space="preserve">dazu </w:t>
      </w:r>
      <w:r w:rsidR="001B13D8">
        <w:t>vorgebrachte „fachtechnisch“</w:t>
      </w:r>
      <w:r w:rsidR="00B3131B">
        <w:t xml:space="preserve"> genannte</w:t>
      </w:r>
      <w:r w:rsidR="001B13D8">
        <w:t xml:space="preserve"> Begründung enthält keinerlei sachliche Stütze. </w:t>
      </w:r>
      <w:r w:rsidR="00B3131B">
        <w:t>(S</w:t>
      </w:r>
      <w:r w:rsidR="001B13D8">
        <w:t xml:space="preserve">iehe unsere Bemerkungen </w:t>
      </w:r>
      <w:r w:rsidR="00B3131B">
        <w:t xml:space="preserve">dazu </w:t>
      </w:r>
      <w:r w:rsidR="001B13D8">
        <w:t>im Schreiben vom 10. 7. dem Gericht vorgelegt mit Schriftsatz vom 4.8.). Damit ist die Begründung aber lediglich ein beliebiger persönlicher Standpunkt des Gutachters, den wir als solchen weit von uns weisen.</w:t>
      </w:r>
      <w:r w:rsidR="00B3131B">
        <w:t xml:space="preserve"> Solche Fehlentwicklungen sind ja gerade das, was durch den Vergleich und durch die Berechnung </w:t>
      </w:r>
      <w:r w:rsidR="007F146F">
        <w:t>eigentlich vermieden werden sollte</w:t>
      </w:r>
      <w:r w:rsidR="00B3131B">
        <w:t xml:space="preserve">. (Siehe Hinweise auf die Verlässlichkeit und den Hinweis auf die Rechtsauffassung des Gerichts, </w:t>
      </w:r>
      <w:r w:rsidR="007F146F">
        <w:t xml:space="preserve">auf </w:t>
      </w:r>
      <w:r w:rsidR="00B3131B">
        <w:t>S. 3 des Vergleichs.)</w:t>
      </w:r>
    </w:p>
    <w:p w:rsidR="001B13D8" w:rsidRDefault="001B13D8"/>
    <w:p w:rsidR="006A613D" w:rsidRDefault="006A613D" w:rsidP="006A613D">
      <w:r w:rsidRPr="00EA0FDB">
        <w:rPr>
          <w:u w:val="single"/>
        </w:rPr>
        <w:t>Vor dem Erhalt</w:t>
      </w:r>
      <w:r>
        <w:t xml:space="preserve"> der Berechnung haben wir die Tabelle </w:t>
      </w:r>
      <w:r w:rsidR="00BB6901">
        <w:t>„Gaststä</w:t>
      </w:r>
      <w:r w:rsidR="007F146F">
        <w:t>tten mit Erlaubnis nach § 2 ... </w:t>
      </w:r>
      <w:r w:rsidR="00BB6901">
        <w:t xml:space="preserve">“  </w:t>
      </w:r>
      <w:r>
        <w:t xml:space="preserve">mit Wissen der Stadt </w:t>
      </w:r>
      <w:r w:rsidR="007F146F">
        <w:t>nicht geöffnet, nicht angesehen</w:t>
      </w:r>
      <w:r>
        <w:t>. Wenn trotzdem behauptet wird, das Benehmen sei hergestellt, heißt das</w:t>
      </w:r>
      <w:r w:rsidR="00BB6901">
        <w:t xml:space="preserve"> dann</w:t>
      </w:r>
      <w:r>
        <w:t xml:space="preserve">, ein Benehmen kann auch hergestellt sein, </w:t>
      </w:r>
      <w:r w:rsidR="00EA0FDB">
        <w:t>ohne dass</w:t>
      </w:r>
      <w:r>
        <w:t xml:space="preserve"> der Betroffene weiß, worum es </w:t>
      </w:r>
      <w:r w:rsidR="00BB6901">
        <w:t xml:space="preserve">überhaupt </w:t>
      </w:r>
      <w:r>
        <w:t>geht</w:t>
      </w:r>
      <w:r w:rsidR="00EA0FDB">
        <w:t>, ohne dass der Betroffene weiß, wozu ein Benehmen hergestellt ist</w:t>
      </w:r>
      <w:r>
        <w:t xml:space="preserve">? </w:t>
      </w:r>
      <w:r w:rsidR="00EA0FDB">
        <w:t>Wir meinen, in diesem Fall ist das Ziel de</w:t>
      </w:r>
      <w:r w:rsidR="004A72E7">
        <w:t>r Verständigung verloren und ein Benehmen nicht erreicht</w:t>
      </w:r>
      <w:r w:rsidR="00EA0FDB">
        <w:t>.</w:t>
      </w:r>
    </w:p>
    <w:p w:rsidR="006A613D" w:rsidRDefault="006A613D" w:rsidP="006A613D"/>
    <w:p w:rsidR="006A613D" w:rsidRDefault="00BB6901" w:rsidP="006A613D">
      <w:r w:rsidRPr="00EA0FDB">
        <w:rPr>
          <w:u w:val="single"/>
        </w:rPr>
        <w:t>Nach</w:t>
      </w:r>
      <w:r w:rsidR="006A613D" w:rsidRPr="00EA0FDB">
        <w:rPr>
          <w:u w:val="single"/>
        </w:rPr>
        <w:t xml:space="preserve"> dem Erhalt</w:t>
      </w:r>
      <w:r w:rsidR="006A613D">
        <w:t xml:space="preserve"> der Berechnung </w:t>
      </w:r>
      <w:r>
        <w:t>ha</w:t>
      </w:r>
      <w:r w:rsidR="007F146F">
        <w:t>ben wir die Tabelle zwar angesehen, sobald</w:t>
      </w:r>
      <w:r>
        <w:t xml:space="preserve"> aber die Berechnung nicht mehr geändert werden kann</w:t>
      </w:r>
      <w:r w:rsidR="0028623A">
        <w:t>,</w:t>
      </w:r>
      <w:r>
        <w:t xml:space="preserve"> ist das Ziel der Verständigung </w:t>
      </w:r>
      <w:r w:rsidR="007F146F">
        <w:t xml:space="preserve">ja sowieso </w:t>
      </w:r>
      <w:r>
        <w:t xml:space="preserve">verloren, ein Benehmen </w:t>
      </w:r>
      <w:r w:rsidR="00236B5C">
        <w:t xml:space="preserve">kann damit </w:t>
      </w:r>
      <w:r w:rsidR="007F146F">
        <w:t>nicht mehr in Frage</w:t>
      </w:r>
      <w:r w:rsidR="00236B5C">
        <w:t xml:space="preserve"> kommen.</w:t>
      </w:r>
      <w:r>
        <w:t xml:space="preserve"> </w:t>
      </w:r>
    </w:p>
    <w:p w:rsidR="006A613D" w:rsidRDefault="006A613D"/>
    <w:p w:rsidR="00450815" w:rsidRDefault="00450815">
      <w:r>
        <w:t>Ein Benehmen wäre allenfalls</w:t>
      </w:r>
      <w:r w:rsidR="00FB698E">
        <w:t xml:space="preserve"> noch möglich gewesen, wenn die Stadt die Beanstandungen, Anmerkungen und Wünsche mit dem Ziel der Verständigung beantwortet h</w:t>
      </w:r>
      <w:r w:rsidR="00C1384A">
        <w:t>ätte. Ein</w:t>
      </w:r>
      <w:r w:rsidR="00FB698E">
        <w:t xml:space="preserve"> Gedanke </w:t>
      </w:r>
      <w:r w:rsidR="00C1384A">
        <w:t xml:space="preserve">an Verständigung </w:t>
      </w:r>
      <w:r w:rsidR="00FB698E">
        <w:t xml:space="preserve">oder das </w:t>
      </w:r>
      <w:r w:rsidR="00C1384A">
        <w:t xml:space="preserve">Ziel der Verständigung </w:t>
      </w:r>
      <w:r w:rsidR="007733AC">
        <w:t>ist</w:t>
      </w:r>
      <w:r w:rsidR="00FB698E">
        <w:t xml:space="preserve"> dem Schreiben vom 27. 6. </w:t>
      </w:r>
      <w:r w:rsidR="00C1384A">
        <w:t xml:space="preserve">tatsächlich aber </w:t>
      </w:r>
      <w:r w:rsidR="00FB698E">
        <w:t>nicht entnehmbar. Das wird auch im Schriftsatz der Stadt an das Gericht nicht anders dargestellt.</w:t>
      </w:r>
      <w:r w:rsidR="00236B5C">
        <w:t xml:space="preserve"> Ein Benehmen ist damit</w:t>
      </w:r>
      <w:r w:rsidR="00C1384A">
        <w:t xml:space="preserve"> also nicht mehr möglich.</w:t>
      </w:r>
      <w:r w:rsidR="005C5441">
        <w:t xml:space="preserve"> Der Abbruch der Arbeit an dieser Berechnung mit Schreiben der Stadt vom 4.8. bestätigt das nur.</w:t>
      </w:r>
    </w:p>
    <w:p w:rsidR="00C76E23" w:rsidRDefault="00C76E23"/>
    <w:p w:rsidR="003903B1" w:rsidRDefault="003903B1"/>
    <w:p w:rsidR="006863EE" w:rsidRDefault="005F0510">
      <w:r>
        <w:t>Sinn und Zweck des Vergleichs</w:t>
      </w:r>
    </w:p>
    <w:p w:rsidR="005F0510" w:rsidRDefault="005F0510"/>
    <w:p w:rsidR="00B47E98" w:rsidRDefault="00B47E98">
      <w:r>
        <w:t xml:space="preserve">Viel wichtiger als die Frage, ob </w:t>
      </w:r>
      <w:r w:rsidR="00A82058">
        <w:t xml:space="preserve">etwa </w:t>
      </w:r>
      <w:r>
        <w:t>das Benehmen herge</w:t>
      </w:r>
      <w:r w:rsidR="00236B5C">
        <w:t>stellt ist und wodurch, ist demgegenüber</w:t>
      </w:r>
      <w:r>
        <w:t xml:space="preserve"> die Frage, in welchem Zustand die Berechnung augenblicklich ist.</w:t>
      </w:r>
    </w:p>
    <w:p w:rsidR="00B47E98" w:rsidRDefault="00B47E98"/>
    <w:p w:rsidR="005F7B0B" w:rsidRDefault="00B47E98">
      <w:r>
        <w:t>Die Berechnung in ihrem</w:t>
      </w:r>
      <w:r w:rsidR="0028623A">
        <w:t xml:space="preserve"> augenblicklichen Zustand entspricht</w:t>
      </w:r>
      <w:r>
        <w:t xml:space="preserve"> nicht den Sinn und Zweck des Vergleiches</w:t>
      </w:r>
      <w:r w:rsidR="003903B1">
        <w:t>.</w:t>
      </w:r>
      <w:r>
        <w:t xml:space="preserve"> </w:t>
      </w:r>
      <w:r w:rsidR="00A82058">
        <w:t>Mit dieser Berechnung wird der</w:t>
      </w:r>
      <w:r w:rsidR="003903B1">
        <w:t xml:space="preserve"> Vergleich</w:t>
      </w:r>
      <w:r>
        <w:t xml:space="preserve"> nicht</w:t>
      </w:r>
      <w:r w:rsidR="00A82058">
        <w:t xml:space="preserve"> erfüllt</w:t>
      </w:r>
      <w:r>
        <w:t xml:space="preserve">. </w:t>
      </w:r>
      <w:r w:rsidR="00A82058">
        <w:t xml:space="preserve">Daran </w:t>
      </w:r>
      <w:r w:rsidR="005E3068">
        <w:t xml:space="preserve">würde </w:t>
      </w:r>
      <w:r w:rsidR="00A82058">
        <w:t>ein Benehmen nichts</w:t>
      </w:r>
      <w:r w:rsidR="005E3068">
        <w:t xml:space="preserve"> ändern</w:t>
      </w:r>
      <w:r w:rsidR="00A82058">
        <w:t xml:space="preserve">. </w:t>
      </w:r>
      <w:r w:rsidR="005F7B0B">
        <w:t>Darauf haben wir in unserem Schreiben an die Stadt vom 12.8. hingewiesen.</w:t>
      </w:r>
    </w:p>
    <w:p w:rsidR="005F7B0B" w:rsidRDefault="005F7B0B"/>
    <w:p w:rsidR="005F0510" w:rsidRDefault="005F7B0B">
      <w:r>
        <w:t xml:space="preserve">Sinn und Zweck des Vergleichs ist, für die Stadt die Tatsachenbasis der Heidelberger Sperrzeitverordnung verlässlich zu ergänzen (Vergleichsbeschluss Seite 3, vorletzter Absatz). </w:t>
      </w:r>
    </w:p>
    <w:p w:rsidR="009C13AF" w:rsidRDefault="009C13AF"/>
    <w:p w:rsidR="009C13AF" w:rsidRDefault="00236B5C">
      <w:r>
        <w:t>D</w:t>
      </w:r>
      <w:r w:rsidR="009C13AF">
        <w:t xml:space="preserve">ie Berechnung </w:t>
      </w:r>
      <w:r>
        <w:t xml:space="preserve">zeigt aber </w:t>
      </w:r>
      <w:r w:rsidR="009C13AF">
        <w:t>in  ihre</w:t>
      </w:r>
      <w:r w:rsidR="00A82058">
        <w:t>m augenblicklichen Zustand</w:t>
      </w:r>
      <w:r w:rsidR="003903B1">
        <w:t xml:space="preserve"> </w:t>
      </w:r>
      <w:r>
        <w:t xml:space="preserve">verschiedene </w:t>
      </w:r>
      <w:r w:rsidR="009C13AF">
        <w:t>offen zu Tage tretende Diskrepanz</w:t>
      </w:r>
      <w:r w:rsidR="00A82058">
        <w:t>en</w:t>
      </w:r>
      <w:r w:rsidR="009C13AF">
        <w:t xml:space="preserve"> zu den tatsächlichen Heidelberger Verhältnissen</w:t>
      </w:r>
      <w:r w:rsidR="00A82058">
        <w:t xml:space="preserve"> (Beanstandung 1 und 3). I</w:t>
      </w:r>
      <w:r w:rsidR="009C13AF">
        <w:t xml:space="preserve">m Fall der Lautstärke der Gaststättenbesucher auf der Straße </w:t>
      </w:r>
      <w:r w:rsidR="00A82058">
        <w:t xml:space="preserve">zeigt sie </w:t>
      </w:r>
      <w:r w:rsidR="009C13AF">
        <w:t xml:space="preserve">eine offen zu </w:t>
      </w:r>
      <w:r w:rsidR="009C13AF">
        <w:lastRenderedPageBreak/>
        <w:t>Tage tretende Diskrepanz zu den uns vom VGH vorgehaltenen Berechnungsmethoden (Augsburger Gutachten).</w:t>
      </w:r>
      <w:r w:rsidR="005C5441">
        <w:t xml:space="preserve"> </w:t>
      </w:r>
    </w:p>
    <w:p w:rsidR="009C13AF" w:rsidRDefault="009C13AF"/>
    <w:p w:rsidR="003903B1" w:rsidRDefault="003903B1">
      <w:r>
        <w:t>Wir erkennen deshalb die mit Schreiben vom 8.5. uns vorgelegte Berechnung in ihrem augenblicklichen Zustand nicht als vergleichserfüllend an.</w:t>
      </w:r>
    </w:p>
    <w:p w:rsidR="009C13AF" w:rsidRDefault="009C13AF"/>
    <w:p w:rsidR="00DF3856" w:rsidRDefault="00DF3856">
      <w:r>
        <w:t xml:space="preserve"> </w:t>
      </w:r>
    </w:p>
    <w:p w:rsidR="00D11557" w:rsidRDefault="005C5441">
      <w:r>
        <w:t>11</w:t>
      </w:r>
      <w:r w:rsidR="0055632A">
        <w:t>.09.2014 Götz Jansen</w:t>
      </w:r>
    </w:p>
    <w:sectPr w:rsidR="00D11557" w:rsidSect="00141E0D">
      <w:headerReference w:type="default" r:id="rId7"/>
      <w:pgSz w:w="11906" w:h="16838" w:code="9"/>
      <w:pgMar w:top="1418"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9C8" w:rsidRDefault="006979C8" w:rsidP="00BC408F">
      <w:r>
        <w:separator/>
      </w:r>
    </w:p>
  </w:endnote>
  <w:endnote w:type="continuationSeparator" w:id="0">
    <w:p w:rsidR="006979C8" w:rsidRDefault="006979C8" w:rsidP="00BC408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9C8" w:rsidRDefault="006979C8" w:rsidP="00BC408F">
      <w:r>
        <w:separator/>
      </w:r>
    </w:p>
  </w:footnote>
  <w:footnote w:type="continuationSeparator" w:id="0">
    <w:p w:rsidR="006979C8" w:rsidRDefault="006979C8" w:rsidP="00BC408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68D3" w:rsidRDefault="008068D3">
    <w:pPr>
      <w:pStyle w:val="Kopfzeile"/>
      <w:jc w:val="center"/>
    </w:pPr>
    <w:r>
      <w:t xml:space="preserve">Seite </w:t>
    </w:r>
    <w:sdt>
      <w:sdtPr>
        <w:id w:val="265964295"/>
        <w:docPartObj>
          <w:docPartGallery w:val="Page Numbers (Top of Page)"/>
          <w:docPartUnique/>
        </w:docPartObj>
      </w:sdtPr>
      <w:sdtContent>
        <w:fldSimple w:instr=" PAGE   \* MERGEFORMAT ">
          <w:r w:rsidR="00C909C0">
            <w:rPr>
              <w:noProof/>
            </w:rPr>
            <w:t>2</w:t>
          </w:r>
        </w:fldSimple>
      </w:sdtContent>
    </w:sdt>
  </w:p>
  <w:p w:rsidR="008068D3" w:rsidRDefault="008068D3">
    <w:pPr>
      <w:pStyle w:val="Kopfzeil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464F5"/>
    <w:multiLevelType w:val="hybridMultilevel"/>
    <w:tmpl w:val="7ED8BACC"/>
    <w:lvl w:ilvl="0" w:tplc="C6BA857C">
      <w:start w:val="29"/>
      <w:numFmt w:val="bullet"/>
      <w:lvlText w:val="-"/>
      <w:lvlJc w:val="left"/>
      <w:pPr>
        <w:ind w:left="720" w:hanging="360"/>
      </w:pPr>
      <w:rPr>
        <w:rFonts w:ascii="Calibri" w:eastAsiaTheme="minorHAnsi" w:hAnsi="Calibri" w:cs="Tahom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rsids>
    <w:rsidRoot w:val="00856F7A"/>
    <w:rsid w:val="00016911"/>
    <w:rsid w:val="00052228"/>
    <w:rsid w:val="00057195"/>
    <w:rsid w:val="00072A5A"/>
    <w:rsid w:val="000F6AE5"/>
    <w:rsid w:val="00123362"/>
    <w:rsid w:val="0012641D"/>
    <w:rsid w:val="00127CBD"/>
    <w:rsid w:val="00131CCC"/>
    <w:rsid w:val="001327EF"/>
    <w:rsid w:val="00141E0D"/>
    <w:rsid w:val="001453CB"/>
    <w:rsid w:val="00155660"/>
    <w:rsid w:val="0015790A"/>
    <w:rsid w:val="00165E34"/>
    <w:rsid w:val="00174734"/>
    <w:rsid w:val="00175351"/>
    <w:rsid w:val="001756FA"/>
    <w:rsid w:val="001B13D8"/>
    <w:rsid w:val="00236B5C"/>
    <w:rsid w:val="0024345C"/>
    <w:rsid w:val="0028623A"/>
    <w:rsid w:val="002B0D92"/>
    <w:rsid w:val="002C2368"/>
    <w:rsid w:val="002D62A7"/>
    <w:rsid w:val="002F2398"/>
    <w:rsid w:val="003636DA"/>
    <w:rsid w:val="003903B1"/>
    <w:rsid w:val="00397738"/>
    <w:rsid w:val="003A0D7B"/>
    <w:rsid w:val="00411C7C"/>
    <w:rsid w:val="00447082"/>
    <w:rsid w:val="00450815"/>
    <w:rsid w:val="00454E35"/>
    <w:rsid w:val="0047785F"/>
    <w:rsid w:val="004A72E7"/>
    <w:rsid w:val="004F0EB1"/>
    <w:rsid w:val="004F67B3"/>
    <w:rsid w:val="00503552"/>
    <w:rsid w:val="00525B87"/>
    <w:rsid w:val="0055632A"/>
    <w:rsid w:val="005A3A9A"/>
    <w:rsid w:val="005C5441"/>
    <w:rsid w:val="005D2C1F"/>
    <w:rsid w:val="005E2345"/>
    <w:rsid w:val="005E3068"/>
    <w:rsid w:val="005F0510"/>
    <w:rsid w:val="005F7B0B"/>
    <w:rsid w:val="006863EE"/>
    <w:rsid w:val="006979C8"/>
    <w:rsid w:val="006A613D"/>
    <w:rsid w:val="006D4302"/>
    <w:rsid w:val="006E2837"/>
    <w:rsid w:val="0074494A"/>
    <w:rsid w:val="00751C0B"/>
    <w:rsid w:val="0076447B"/>
    <w:rsid w:val="00765992"/>
    <w:rsid w:val="00766591"/>
    <w:rsid w:val="007733AC"/>
    <w:rsid w:val="007F146F"/>
    <w:rsid w:val="008068D3"/>
    <w:rsid w:val="008150FB"/>
    <w:rsid w:val="00856F7A"/>
    <w:rsid w:val="008A0381"/>
    <w:rsid w:val="008E09B8"/>
    <w:rsid w:val="008E0C85"/>
    <w:rsid w:val="008F4B2E"/>
    <w:rsid w:val="00996CDA"/>
    <w:rsid w:val="009A2D09"/>
    <w:rsid w:val="009C13AF"/>
    <w:rsid w:val="00A27FF1"/>
    <w:rsid w:val="00A370A2"/>
    <w:rsid w:val="00A82058"/>
    <w:rsid w:val="00A97245"/>
    <w:rsid w:val="00B21359"/>
    <w:rsid w:val="00B3131B"/>
    <w:rsid w:val="00B4297D"/>
    <w:rsid w:val="00B47E98"/>
    <w:rsid w:val="00B56872"/>
    <w:rsid w:val="00B66828"/>
    <w:rsid w:val="00BB4E43"/>
    <w:rsid w:val="00BB673C"/>
    <w:rsid w:val="00BB6901"/>
    <w:rsid w:val="00BC408F"/>
    <w:rsid w:val="00C02F12"/>
    <w:rsid w:val="00C1384A"/>
    <w:rsid w:val="00C16AE9"/>
    <w:rsid w:val="00C568B5"/>
    <w:rsid w:val="00C67D09"/>
    <w:rsid w:val="00C76E23"/>
    <w:rsid w:val="00C822B5"/>
    <w:rsid w:val="00C909C0"/>
    <w:rsid w:val="00D11557"/>
    <w:rsid w:val="00D21EEF"/>
    <w:rsid w:val="00D42199"/>
    <w:rsid w:val="00D47673"/>
    <w:rsid w:val="00DB2267"/>
    <w:rsid w:val="00DE36CF"/>
    <w:rsid w:val="00DF3856"/>
    <w:rsid w:val="00E6721C"/>
    <w:rsid w:val="00E940B6"/>
    <w:rsid w:val="00E953D9"/>
    <w:rsid w:val="00EA0FDB"/>
    <w:rsid w:val="00F312C1"/>
    <w:rsid w:val="00F52A7A"/>
    <w:rsid w:val="00FB698E"/>
    <w:rsid w:val="00FD192A"/>
    <w:rsid w:val="00FF61A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8A0381"/>
    <w:pPr>
      <w:spacing w:after="0" w:line="240" w:lineRule="auto"/>
    </w:pPr>
    <w:rPr>
      <w:rFonts w:cs="Tahoma"/>
      <w:color w:val="000000"/>
      <w:sz w:val="24"/>
      <w:szCs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Entsch">
    <w:name w:val="Entsch"/>
    <w:basedOn w:val="Standard"/>
    <w:qFormat/>
    <w:rsid w:val="00FF61AF"/>
    <w:pPr>
      <w:spacing w:before="100" w:beforeAutospacing="1" w:after="100" w:afterAutospacing="1"/>
      <w:ind w:left="720"/>
    </w:pPr>
    <w:rPr>
      <w:rFonts w:ascii="Verdana" w:eastAsia="Times New Roman" w:hAnsi="Verdana" w:cs="Times New Roman"/>
      <w:szCs w:val="24"/>
      <w:lang w:eastAsia="de-DE"/>
    </w:rPr>
  </w:style>
  <w:style w:type="paragraph" w:styleId="Listenabsatz">
    <w:name w:val="List Paragraph"/>
    <w:basedOn w:val="Standard"/>
    <w:uiPriority w:val="34"/>
    <w:qFormat/>
    <w:rsid w:val="00DB2267"/>
    <w:pPr>
      <w:ind w:left="720"/>
      <w:contextualSpacing/>
    </w:pPr>
  </w:style>
  <w:style w:type="paragraph" w:styleId="Kopfzeile">
    <w:name w:val="header"/>
    <w:basedOn w:val="Standard"/>
    <w:link w:val="KopfzeileZchn"/>
    <w:uiPriority w:val="99"/>
    <w:unhideWhenUsed/>
    <w:rsid w:val="00BC408F"/>
    <w:pPr>
      <w:tabs>
        <w:tab w:val="center" w:pos="4536"/>
        <w:tab w:val="right" w:pos="9072"/>
      </w:tabs>
    </w:pPr>
  </w:style>
  <w:style w:type="character" w:customStyle="1" w:styleId="KopfzeileZchn">
    <w:name w:val="Kopfzeile Zchn"/>
    <w:basedOn w:val="Absatz-Standardschriftart"/>
    <w:link w:val="Kopfzeile"/>
    <w:uiPriority w:val="99"/>
    <w:rsid w:val="00BC408F"/>
    <w:rPr>
      <w:rFonts w:cs="Tahoma"/>
      <w:color w:val="000000"/>
      <w:sz w:val="24"/>
      <w:szCs w:val="16"/>
    </w:rPr>
  </w:style>
  <w:style w:type="paragraph" w:styleId="Fuzeile">
    <w:name w:val="footer"/>
    <w:basedOn w:val="Standard"/>
    <w:link w:val="FuzeileZchn"/>
    <w:uiPriority w:val="99"/>
    <w:semiHidden/>
    <w:unhideWhenUsed/>
    <w:rsid w:val="00BC408F"/>
    <w:pPr>
      <w:tabs>
        <w:tab w:val="center" w:pos="4536"/>
        <w:tab w:val="right" w:pos="9072"/>
      </w:tabs>
    </w:pPr>
  </w:style>
  <w:style w:type="character" w:customStyle="1" w:styleId="FuzeileZchn">
    <w:name w:val="Fußzeile Zchn"/>
    <w:basedOn w:val="Absatz-Standardschriftart"/>
    <w:link w:val="Fuzeile"/>
    <w:uiPriority w:val="99"/>
    <w:semiHidden/>
    <w:rsid w:val="00BC408F"/>
    <w:rPr>
      <w:rFonts w:cs="Tahoma"/>
      <w:color w:val="000000"/>
      <w:sz w:val="24"/>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1421</Words>
  <Characters>8956</Characters>
  <Application>Microsoft Office Word</Application>
  <DocSecurity>0</DocSecurity>
  <Lines>74</Lines>
  <Paragraphs>20</Paragraphs>
  <ScaleCrop>false</ScaleCrop>
  <HeadingPairs>
    <vt:vector size="2" baseType="variant">
      <vt:variant>
        <vt:lpstr>Titel</vt:lpstr>
      </vt:variant>
      <vt:variant>
        <vt:i4>1</vt:i4>
      </vt:variant>
    </vt:vector>
  </HeadingPairs>
  <TitlesOfParts>
    <vt:vector size="1" baseType="lpstr">
      <vt:lpstr/>
    </vt:vector>
  </TitlesOfParts>
  <Company> </Company>
  <LinksUpToDate>false</LinksUpToDate>
  <CharactersWithSpaces>10357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Sabine und Götz Jansen</dc:creator>
  <cp:lastModifiedBy>Sabine und Götz Jansen</cp:lastModifiedBy>
  <cp:revision>2</cp:revision>
  <cp:lastPrinted>2014-09-11T10:38:00Z</cp:lastPrinted>
  <dcterms:created xsi:type="dcterms:W3CDTF">2014-09-11T12:20:00Z</dcterms:created>
  <dcterms:modified xsi:type="dcterms:W3CDTF">2014-09-11T12:20:00Z</dcterms:modified>
</cp:coreProperties>
</file>